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Times New Roman"/>
          <w:sz w:val="20"/>
        </w:rPr>
      </w:pPr>
    </w:p>
    <w:p>
      <w:pPr>
        <w:pStyle w:val="3"/>
        <w:spacing w:before="1"/>
        <w:rPr>
          <w:rFonts w:ascii="Times New Roman"/>
          <w:sz w:val="17"/>
        </w:rPr>
      </w:pPr>
    </w:p>
    <w:p>
      <w:pPr>
        <w:pStyle w:val="2"/>
        <w:spacing w:before="61"/>
        <w:ind w:right="4052"/>
        <w:jc w:val="both"/>
      </w:pPr>
      <w:bookmarkStart w:id="0" w:name="串口测试说明和问题排查"/>
      <w:bookmarkEnd w:id="0"/>
      <w:r>
        <w:t>Serial test instructions and troubleshooting</w:t>
      </w:r>
    </w:p>
    <w:p>
      <w:pPr>
        <w:pStyle w:val="3"/>
        <w:rPr>
          <w:sz w:val="20"/>
        </w:rPr>
      </w:pPr>
    </w:p>
    <w:p>
      <w:pPr>
        <w:pStyle w:val="3"/>
        <w:rPr>
          <w:sz w:val="20"/>
        </w:rPr>
      </w:pPr>
    </w:p>
    <w:p>
      <w:pPr>
        <w:spacing w:before="219"/>
        <w:ind w:left="106" w:right="0" w:firstLine="0"/>
        <w:jc w:val="left"/>
        <w:rPr>
          <w:sz w:val="28"/>
        </w:rPr>
      </w:pPr>
      <w:bookmarkStart w:id="1" w:name="一、简介"/>
      <w:bookmarkEnd w:id="1"/>
      <w:r>
        <w:rPr>
          <w:sz w:val="28"/>
        </w:rPr>
        <w:t>I. Introduction</w:t>
      </w:r>
    </w:p>
    <w:p>
      <w:pPr>
        <w:pStyle w:val="3"/>
        <w:rPr>
          <w:sz w:val="28"/>
        </w:rPr>
      </w:pPr>
    </w:p>
    <w:p>
      <w:pPr>
        <w:pStyle w:val="3"/>
        <w:spacing w:before="12"/>
        <w:rPr>
          <w:sz w:val="38"/>
        </w:rPr>
      </w:pPr>
    </w:p>
    <w:p>
      <w:pPr>
        <w:spacing w:before="0" w:line="278" w:lineRule="auto"/>
        <w:ind w:left="106" w:right="956" w:firstLine="0"/>
        <w:jc w:val="left"/>
        <w:rPr>
          <w:sz w:val="21"/>
        </w:rPr>
      </w:pPr>
      <w:r>
        <w:rPr>
          <w:sz w:val="21"/>
        </w:rPr>
        <w:t>The basic concept of the serial is not described, many online. Serial products are the AT commands, pay attention to non-targets. And other manufacturers of modules is not the same as the factory default baud rate of 115200. Power-on module will automatically return the chip or some parameters, such as the version of Bluetooth name, UUID, and so on parameters</w:t>
      </w:r>
    </w:p>
    <w:p>
      <w:pPr>
        <w:pStyle w:val="3"/>
        <w:rPr>
          <w:sz w:val="22"/>
        </w:rPr>
      </w:pPr>
    </w:p>
    <w:p>
      <w:pPr>
        <w:pStyle w:val="3"/>
        <w:spacing w:before="1"/>
        <w:rPr>
          <w:sz w:val="18"/>
        </w:rPr>
      </w:pPr>
    </w:p>
    <w:p>
      <w:pPr>
        <w:pStyle w:val="2"/>
      </w:pPr>
      <w:r>
        <w:t>Second, the problem</w:t>
      </w:r>
    </w:p>
    <w:p>
      <w:pPr>
        <w:pStyle w:val="3"/>
        <w:rPr>
          <w:sz w:val="28"/>
        </w:rPr>
      </w:pPr>
    </w:p>
    <w:p>
      <w:pPr>
        <w:pStyle w:val="3"/>
        <w:spacing w:before="11"/>
        <w:rPr>
          <w:sz w:val="21"/>
        </w:rPr>
      </w:pPr>
    </w:p>
    <w:p>
      <w:pPr>
        <w:pStyle w:val="7"/>
        <w:numPr>
          <w:ilvl w:val="1"/>
          <w:numId w:val="1"/>
        </w:numPr>
        <w:tabs>
          <w:tab w:val="left" w:pos="500"/>
        </w:tabs>
        <w:spacing w:before="0" w:after="0" w:line="240" w:lineRule="auto"/>
        <w:ind w:left="500" w:right="0" w:hanging="394"/>
        <w:jc w:val="left"/>
        <w:rPr>
          <w:sz w:val="24"/>
        </w:rPr>
      </w:pPr>
      <w:bookmarkStart w:id="2" w:name="2.1串口的格式说明"/>
      <w:bookmarkEnd w:id="2"/>
      <w:bookmarkStart w:id="3" w:name="2.1串口的格式说明"/>
      <w:bookmarkEnd w:id="3"/>
      <w:r>
        <w:rPr>
          <w:sz w:val="24"/>
        </w:rPr>
        <w:t>Serial format specification</w:t>
      </w:r>
    </w:p>
    <w:tbl>
      <w:tblPr>
        <w:tblStyle w:val="4"/>
        <w:tblW w:w="0" w:type="auto"/>
        <w:tblInd w:w="136" w:type="dxa"/>
        <w:shd w:val="clear" w:color="auto" w:fill="F9F9F9"/>
        <w:tblLayout w:type="fixed"/>
        <w:tblCellMar>
          <w:top w:w="0" w:type="dxa"/>
          <w:left w:w="0" w:type="dxa"/>
          <w:bottom w:w="0" w:type="dxa"/>
          <w:right w:w="0" w:type="dxa"/>
        </w:tblCellMar>
      </w:tblPr>
      <w:tblGrid>
        <w:gridCol w:w="1920"/>
        <w:gridCol w:w="8565"/>
      </w:tblGrid>
      <w:tr>
        <w:tblPrEx>
          <w:shd w:val="clear" w:color="auto" w:fill="F9F9F9"/>
          <w:tblCellMar>
            <w:top w:w="0" w:type="dxa"/>
            <w:left w:w="0" w:type="dxa"/>
            <w:bottom w:w="0" w:type="dxa"/>
            <w:right w:w="0" w:type="dxa"/>
          </w:tblCellMar>
        </w:tblPrEx>
        <w:trPr>
          <w:trHeight w:val="312" w:hRule="atLeast"/>
        </w:trPr>
        <w:tc>
          <w:tcPr>
            <w:tcW w:w="10485" w:type="dxa"/>
            <w:gridSpan w:val="2"/>
            <w:vMerge w:val="restart"/>
            <w:tcBorders>
              <w:top w:val="single" w:color="000000" w:sz="12" w:space="0"/>
              <w:left w:val="single" w:color="000000" w:sz="12" w:space="0"/>
              <w:bottom w:val="single" w:color="000000" w:sz="12" w:space="0"/>
              <w:right w:val="single" w:color="000000" w:sz="12" w:space="0"/>
            </w:tcBorders>
            <w:shd w:val="clear" w:color="auto" w:fill="F9F9F9"/>
            <w:noWrap w:val="0"/>
            <w:tcMar>
              <w:left w:w="108" w:type="dxa"/>
              <w:right w:w="108" w:type="dxa"/>
            </w:tcMar>
            <w:vAlign w:val="center"/>
          </w:tcPr>
          <w:p>
            <w:pPr>
              <w:jc w:val="left"/>
              <w:rPr>
                <w:rFonts w:hint="eastAsia" w:ascii="宋体" w:hAnsi="宋体" w:eastAsia="宋体" w:cs="宋体"/>
              </w:rPr>
            </w:pPr>
            <w:r>
              <w:rPr>
                <w:rFonts w:hint="eastAsia" w:ascii="宋体" w:hAnsi="宋体" w:eastAsia="宋体" w:cs="宋体"/>
                <w:lang w:val="en-US" w:eastAsia="zh-CN"/>
              </w:rPr>
              <w:t>Supporting asynchronous serial communication mode, receiving command communication standard sent by PC through serial port: data bit:8115200 BPS - Users can set instructions through serial ports as detailed in 4.2.2</w:t>
            </w:r>
          </w:p>
          <w:p>
            <w:pPr>
              <w:jc w:val="left"/>
              <w:rPr>
                <w:rFonts w:hint="eastAsia" w:ascii="宋体" w:hAnsi="宋体" w:eastAsia="宋体" w:cs="宋体"/>
              </w:rPr>
            </w:pPr>
            <w:r>
              <w:rPr>
                <w:rFonts w:hint="eastAsia" w:ascii="宋体" w:hAnsi="宋体" w:eastAsia="宋体" w:cs="宋体"/>
                <w:lang w:val="en-US" w:eastAsia="zh-CN"/>
              </w:rPr>
              <w:t>Stop bit: 1 check bit: none flow control: none</w:t>
            </w:r>
          </w:p>
          <w:p>
            <w:pPr>
              <w:jc w:val="left"/>
              <w:rPr>
                <w:rFonts w:hint="eastAsia" w:ascii="宋体" w:hAnsi="宋体" w:eastAsia="宋体" w:cs="宋体"/>
              </w:rPr>
            </w:pPr>
            <w:r>
              <w:rPr>
                <w:rFonts w:hint="eastAsia" w:ascii="宋体" w:hAnsi="宋体" w:eastAsia="宋体" w:cs="宋体"/>
                <w:lang w:val="en-US" w:eastAsia="zh-CN"/>
              </w:rPr>
              <w:t>Note: All instructions are designed regularly, not randomly divided, you can find the rules below.</w:t>
            </w:r>
          </w:p>
        </w:tc>
      </w:tr>
      <w:tr>
        <w:tblPrEx>
          <w:tblCellMar>
            <w:top w:w="0" w:type="dxa"/>
            <w:left w:w="0" w:type="dxa"/>
            <w:bottom w:w="0" w:type="dxa"/>
            <w:right w:w="0" w:type="dxa"/>
          </w:tblCellMar>
        </w:tblPrEx>
        <w:trPr>
          <w:trHeight w:val="312" w:hRule="atLeast"/>
        </w:trPr>
        <w:tc>
          <w:tcPr>
            <w:tcW w:w="1048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9F9F9"/>
            <w:noWrap w:val="0"/>
            <w:tcMar>
              <w:left w:w="108" w:type="dxa"/>
              <w:right w:w="108" w:type="dxa"/>
            </w:tcMar>
            <w:vAlign w:val="center"/>
          </w:tcPr>
          <w:p>
            <w:pPr>
              <w:jc w:val="left"/>
              <w:rPr>
                <w:rFonts w:hint="eastAsia" w:ascii="宋体" w:hAnsi="宋体" w:eastAsia="宋体" w:cs="宋体"/>
              </w:rPr>
            </w:pPr>
          </w:p>
        </w:tc>
      </w:tr>
      <w:tr>
        <w:tblPrEx>
          <w:tblCellMar>
            <w:top w:w="0" w:type="dxa"/>
            <w:left w:w="0" w:type="dxa"/>
            <w:bottom w:w="0" w:type="dxa"/>
            <w:right w:w="0" w:type="dxa"/>
          </w:tblCellMar>
        </w:tblPrEx>
        <w:trPr>
          <w:trHeight w:val="312" w:hRule="atLeast"/>
        </w:trPr>
        <w:tc>
          <w:tcPr>
            <w:tcW w:w="1048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9F9F9"/>
            <w:noWrap w:val="0"/>
            <w:tcMar>
              <w:left w:w="108" w:type="dxa"/>
              <w:right w:w="108" w:type="dxa"/>
            </w:tcMar>
            <w:vAlign w:val="center"/>
          </w:tcPr>
          <w:p>
            <w:pPr>
              <w:jc w:val="left"/>
              <w:rPr>
                <w:rFonts w:hint="eastAsia" w:ascii="宋体" w:hAnsi="宋体" w:eastAsia="宋体" w:cs="宋体"/>
              </w:rPr>
            </w:pPr>
          </w:p>
        </w:tc>
      </w:tr>
      <w:tr>
        <w:tblPrEx>
          <w:tblCellMar>
            <w:top w:w="0" w:type="dxa"/>
            <w:left w:w="0" w:type="dxa"/>
            <w:bottom w:w="0" w:type="dxa"/>
            <w:right w:w="0" w:type="dxa"/>
          </w:tblCellMar>
        </w:tblPrEx>
        <w:trPr>
          <w:trHeight w:val="1606" w:hRule="atLeast"/>
        </w:trPr>
        <w:tc>
          <w:tcPr>
            <w:tcW w:w="10485" w:type="dxa"/>
            <w:gridSpan w:val="2"/>
            <w:vMerge w:val="continue"/>
            <w:tcBorders>
              <w:top w:val="single" w:color="000000" w:sz="12" w:space="0"/>
              <w:left w:val="single" w:color="000000" w:sz="12" w:space="0"/>
              <w:bottom w:val="single" w:color="000000" w:sz="12" w:space="0"/>
              <w:right w:val="single" w:color="000000" w:sz="12" w:space="0"/>
            </w:tcBorders>
            <w:shd w:val="clear" w:color="auto" w:fill="F9F9F9"/>
            <w:noWrap w:val="0"/>
            <w:tcMar>
              <w:left w:w="108" w:type="dxa"/>
              <w:right w:w="108" w:type="dxa"/>
            </w:tcMar>
            <w:vAlign w:val="center"/>
          </w:tcPr>
          <w:p>
            <w:pPr>
              <w:jc w:val="left"/>
              <w:rPr>
                <w:rFonts w:hint="eastAsia" w:ascii="宋体" w:hAnsi="宋体" w:eastAsia="宋体" w:cs="宋体"/>
              </w:rPr>
            </w:pPr>
          </w:p>
        </w:tc>
      </w:tr>
      <w:tr>
        <w:tblPrEx>
          <w:tblCellMar>
            <w:top w:w="0" w:type="dxa"/>
            <w:left w:w="0" w:type="dxa"/>
            <w:bottom w:w="0" w:type="dxa"/>
            <w:right w:w="0" w:type="dxa"/>
          </w:tblCellMar>
        </w:tblPrEx>
        <w:trPr>
          <w:trHeight w:val="454" w:hRule="atLeast"/>
        </w:trPr>
        <w:tc>
          <w:tcPr>
            <w:tcW w:w="10485" w:type="dxa"/>
            <w:gridSpan w:val="2"/>
            <w:tcBorders>
              <w:top w:val="nil"/>
              <w:left w:val="single" w:color="000000" w:sz="12" w:space="0"/>
              <w:bottom w:val="single" w:color="000000" w:sz="12" w:space="0"/>
              <w:right w:val="single" w:color="000000" w:sz="12" w:space="0"/>
            </w:tcBorders>
            <w:shd w:val="clear" w:color="auto" w:fill="F9F9F9"/>
            <w:noWrap w:val="0"/>
            <w:tcMar>
              <w:left w:w="108" w:type="dxa"/>
              <w:right w:w="108" w:type="dxa"/>
            </w:tcMar>
            <w:vAlign w:val="center"/>
          </w:tcPr>
          <w:p>
            <w:pPr>
              <w:jc w:val="left"/>
              <w:rPr>
                <w:rFonts w:hint="eastAsia" w:ascii="宋体" w:hAnsi="宋体" w:eastAsia="宋体" w:cs="宋体"/>
              </w:rPr>
            </w:pPr>
            <w:r>
              <w:rPr>
                <w:rFonts w:hint="eastAsia" w:ascii="宋体" w:hAnsi="宋体" w:eastAsia="宋体" w:cs="宋体"/>
                <w:lang w:val="en-US" w:eastAsia="zh-CN"/>
              </w:rPr>
              <w:t>Control Instruction Format: AT+&lt;CMD&gt;[&lt;param&gt;]rn - - All characters, not hexadecimal numbers</w:t>
            </w:r>
          </w:p>
          <w:p>
            <w:pPr>
              <w:jc w:val="left"/>
              <w:rPr>
                <w:rFonts w:hint="eastAsia" w:ascii="宋体" w:hAnsi="宋体" w:eastAsia="宋体" w:cs="宋体"/>
              </w:rPr>
            </w:pPr>
            <w:r>
              <w:rPr>
                <w:rFonts w:hint="eastAsia" w:ascii="宋体" w:hAnsi="宋体" w:eastAsia="宋体" w:cs="宋体"/>
                <w:lang w:val="en-US" w:eastAsia="zh-CN"/>
              </w:rPr>
              <w:t>    Data feedback format: &lt;IND&gt;[&lt;param&gt;]rn</w:t>
            </w:r>
          </w:p>
        </w:tc>
      </w:tr>
      <w:tr>
        <w:tblPrEx>
          <w:tblCellMar>
            <w:top w:w="0" w:type="dxa"/>
            <w:left w:w="0" w:type="dxa"/>
            <w:bottom w:w="0" w:type="dxa"/>
            <w:right w:w="0" w:type="dxa"/>
          </w:tblCellMar>
        </w:tblPrEx>
        <w:trPr>
          <w:trHeight w:val="454" w:hRule="atLeast"/>
        </w:trPr>
        <w:tc>
          <w:tcPr>
            <w:tcW w:w="10485" w:type="dxa"/>
            <w:gridSpan w:val="2"/>
            <w:tcBorders>
              <w:top w:val="nil"/>
              <w:left w:val="single" w:color="000000" w:sz="12" w:space="0"/>
              <w:bottom w:val="single" w:color="000000" w:sz="12" w:space="0"/>
              <w:right w:val="single" w:color="000000" w:sz="12" w:space="0"/>
            </w:tcBorders>
            <w:shd w:val="clear" w:color="auto" w:fill="F9F9F9"/>
            <w:noWrap w:val="0"/>
            <w:tcMar>
              <w:left w:w="108" w:type="dxa"/>
              <w:right w:w="108" w:type="dxa"/>
            </w:tcMar>
            <w:vAlign w:val="center"/>
          </w:tcPr>
          <w:p>
            <w:pPr>
              <w:jc w:val="left"/>
              <w:rPr>
                <w:rFonts w:hint="eastAsia" w:ascii="宋体" w:hAnsi="宋体" w:eastAsia="宋体" w:cs="宋体"/>
              </w:rPr>
            </w:pPr>
            <w:r>
              <w:rPr>
                <w:rFonts w:hint="eastAsia" w:ascii="宋体" w:hAnsi="宋体" w:eastAsia="宋体" w:cs="宋体"/>
                <w:lang w:val="en-US" w:eastAsia="zh-CN"/>
              </w:rPr>
              <w:t>Data feedback format: &lt;IND&gt;[&lt;param&gt;]rn</w:t>
            </w:r>
          </w:p>
        </w:tc>
      </w:tr>
      <w:tr>
        <w:tblPrEx>
          <w:tblCellMar>
            <w:top w:w="0" w:type="dxa"/>
            <w:left w:w="0" w:type="dxa"/>
            <w:bottom w:w="0" w:type="dxa"/>
            <w:right w:w="0" w:type="dxa"/>
          </w:tblCellMar>
        </w:tblPrEx>
        <w:trPr>
          <w:trHeight w:val="454" w:hRule="atLeast"/>
        </w:trPr>
        <w:tc>
          <w:tcPr>
            <w:tcW w:w="1920" w:type="dxa"/>
            <w:tcBorders>
              <w:top w:val="nil"/>
              <w:left w:val="single" w:color="000000" w:sz="12" w:space="0"/>
              <w:bottom w:val="single" w:color="000000" w:sz="12" w:space="0"/>
              <w:right w:val="single" w:color="000000" w:sz="12" w:space="0"/>
            </w:tcBorders>
            <w:shd w:val="clear" w:color="auto" w:fill="F9F9F9"/>
            <w:noWrap w:val="0"/>
            <w:tcMar>
              <w:left w:w="108" w:type="dxa"/>
              <w:right w:w="108" w:type="dxa"/>
            </w:tcMar>
            <w:vAlign w:val="center"/>
          </w:tcPr>
          <w:p>
            <w:pPr>
              <w:jc w:val="left"/>
              <w:rPr>
                <w:rFonts w:hint="eastAsia" w:ascii="宋体" w:hAnsi="宋体" w:eastAsia="宋体" w:cs="宋体"/>
              </w:rPr>
            </w:pPr>
            <w:r>
              <w:rPr>
                <w:rFonts w:hint="eastAsia" w:ascii="宋体" w:hAnsi="宋体" w:eastAsia="宋体" w:cs="宋体"/>
                <w:lang w:val="en-US" w:eastAsia="zh-CN"/>
              </w:rPr>
              <w:t>Data characteristics</w:t>
            </w:r>
          </w:p>
        </w:tc>
        <w:tc>
          <w:tcPr>
            <w:tcW w:w="8565" w:type="dxa"/>
            <w:tcBorders>
              <w:top w:val="nil"/>
              <w:left w:val="nil"/>
              <w:bottom w:val="single" w:color="000000" w:sz="12" w:space="0"/>
              <w:right w:val="single" w:color="000000" w:sz="12" w:space="0"/>
            </w:tcBorders>
            <w:shd w:val="clear" w:color="auto" w:fill="F9F9F9"/>
            <w:noWrap w:val="0"/>
            <w:tcMar>
              <w:left w:w="108" w:type="dxa"/>
              <w:right w:w="108" w:type="dxa"/>
            </w:tcMar>
            <w:vAlign w:val="bottom"/>
          </w:tcPr>
          <w:p>
            <w:pPr>
              <w:jc w:val="left"/>
              <w:rPr>
                <w:rFonts w:hint="eastAsia" w:ascii="宋体" w:hAnsi="宋体" w:eastAsia="宋体" w:cs="宋体"/>
              </w:rPr>
            </w:pPr>
            <w:r>
              <w:rPr>
                <w:rFonts w:hint="eastAsia" w:ascii="宋体" w:hAnsi="宋体" w:eastAsia="宋体" w:cs="宋体"/>
                <w:lang w:val="en-US" w:eastAsia="zh-CN"/>
              </w:rPr>
              <w:t>Detailed description</w:t>
            </w:r>
          </w:p>
        </w:tc>
      </w:tr>
      <w:tr>
        <w:tblPrEx>
          <w:tblCellMar>
            <w:top w:w="0" w:type="dxa"/>
            <w:left w:w="0" w:type="dxa"/>
            <w:bottom w:w="0" w:type="dxa"/>
            <w:right w:w="0" w:type="dxa"/>
          </w:tblCellMar>
        </w:tblPrEx>
        <w:trPr>
          <w:trHeight w:val="454" w:hRule="atLeast"/>
        </w:trPr>
        <w:tc>
          <w:tcPr>
            <w:tcW w:w="1920" w:type="dxa"/>
            <w:tcBorders>
              <w:top w:val="nil"/>
              <w:left w:val="single" w:color="000000" w:sz="12" w:space="0"/>
              <w:bottom w:val="single" w:color="000000" w:sz="12" w:space="0"/>
              <w:right w:val="single" w:color="000000" w:sz="12" w:space="0"/>
            </w:tcBorders>
            <w:shd w:val="clear" w:color="auto" w:fill="F9F9F9"/>
            <w:noWrap w:val="0"/>
            <w:tcMar>
              <w:left w:w="108" w:type="dxa"/>
              <w:right w:w="108" w:type="dxa"/>
            </w:tcMar>
            <w:vAlign w:val="center"/>
          </w:tcPr>
          <w:p>
            <w:pPr>
              <w:jc w:val="left"/>
              <w:rPr>
                <w:rFonts w:hint="eastAsia" w:ascii="宋体" w:hAnsi="宋体" w:eastAsia="宋体" w:cs="宋体"/>
              </w:rPr>
            </w:pPr>
            <w:r>
              <w:rPr>
                <w:rFonts w:hint="eastAsia" w:ascii="宋体" w:hAnsi="宋体" w:eastAsia="宋体" w:cs="宋体"/>
                <w:lang w:val="en-US" w:eastAsia="zh-CN"/>
              </w:rPr>
              <w:t>AT+</w:t>
            </w:r>
          </w:p>
        </w:tc>
        <w:tc>
          <w:tcPr>
            <w:tcW w:w="8565" w:type="dxa"/>
            <w:tcBorders>
              <w:top w:val="nil"/>
              <w:left w:val="nil"/>
              <w:bottom w:val="single" w:color="000000" w:sz="12" w:space="0"/>
              <w:right w:val="single" w:color="000000" w:sz="12" w:space="0"/>
            </w:tcBorders>
            <w:shd w:val="clear" w:color="auto" w:fill="F9F9F9"/>
            <w:noWrap w:val="0"/>
            <w:tcMar>
              <w:left w:w="108" w:type="dxa"/>
              <w:right w:w="108" w:type="dxa"/>
            </w:tcMar>
            <w:vAlign w:val="bottom"/>
          </w:tcPr>
          <w:p>
            <w:pPr>
              <w:jc w:val="left"/>
              <w:rPr>
                <w:rFonts w:hint="eastAsia" w:ascii="宋体" w:hAnsi="宋体" w:eastAsia="宋体" w:cs="宋体"/>
              </w:rPr>
            </w:pPr>
            <w:r>
              <w:rPr>
                <w:rFonts w:hint="eastAsia" w:ascii="宋体" w:hAnsi="宋体" w:eastAsia="宋体" w:cs="宋体"/>
                <w:lang w:val="en-US" w:eastAsia="zh-CN"/>
              </w:rPr>
              <w:t>The control command is the control command given to BT201 by the control host, starting with "AT+"</w:t>
            </w:r>
          </w:p>
        </w:tc>
      </w:tr>
      <w:tr>
        <w:tblPrEx>
          <w:tblCellMar>
            <w:top w:w="0" w:type="dxa"/>
            <w:left w:w="0" w:type="dxa"/>
            <w:bottom w:w="0" w:type="dxa"/>
            <w:right w:w="0" w:type="dxa"/>
          </w:tblCellMar>
        </w:tblPrEx>
        <w:trPr>
          <w:trHeight w:val="454" w:hRule="atLeast"/>
        </w:trPr>
        <w:tc>
          <w:tcPr>
            <w:tcW w:w="1920" w:type="dxa"/>
            <w:tcBorders>
              <w:top w:val="nil"/>
              <w:left w:val="single" w:color="000000" w:sz="12" w:space="0"/>
              <w:bottom w:val="single" w:color="000000" w:sz="12" w:space="0"/>
              <w:right w:val="single" w:color="000000" w:sz="12" w:space="0"/>
            </w:tcBorders>
            <w:shd w:val="clear" w:color="auto" w:fill="F9F9F9"/>
            <w:noWrap w:val="0"/>
            <w:tcMar>
              <w:left w:w="108" w:type="dxa"/>
              <w:right w:w="108" w:type="dxa"/>
            </w:tcMar>
            <w:vAlign w:val="center"/>
          </w:tcPr>
          <w:p>
            <w:pPr>
              <w:jc w:val="left"/>
              <w:rPr>
                <w:rFonts w:hint="eastAsia" w:ascii="宋体" w:hAnsi="宋体" w:eastAsia="宋体" w:cs="宋体"/>
              </w:rPr>
            </w:pPr>
            <w:r>
              <w:rPr>
                <w:rFonts w:hint="eastAsia" w:ascii="宋体" w:hAnsi="宋体" w:eastAsia="宋体" w:cs="宋体"/>
                <w:lang w:val="en-US" w:eastAsia="zh-CN"/>
              </w:rPr>
              <w:t>&lt;CMD&gt;</w:t>
            </w:r>
          </w:p>
        </w:tc>
        <w:tc>
          <w:tcPr>
            <w:tcW w:w="8565" w:type="dxa"/>
            <w:tcBorders>
              <w:top w:val="nil"/>
              <w:left w:val="nil"/>
              <w:bottom w:val="single" w:color="000000" w:sz="12" w:space="0"/>
              <w:right w:val="single" w:color="000000" w:sz="12" w:space="0"/>
            </w:tcBorders>
            <w:shd w:val="clear" w:color="auto" w:fill="F9F9F9"/>
            <w:noWrap w:val="0"/>
            <w:tcMar>
              <w:left w:w="108" w:type="dxa"/>
              <w:right w:w="108" w:type="dxa"/>
            </w:tcMar>
            <w:vAlign w:val="bottom"/>
          </w:tcPr>
          <w:p>
            <w:pPr>
              <w:jc w:val="left"/>
              <w:rPr>
                <w:rFonts w:hint="eastAsia" w:ascii="宋体" w:hAnsi="宋体" w:eastAsia="宋体" w:cs="宋体"/>
              </w:rPr>
            </w:pPr>
            <w:r>
              <w:rPr>
                <w:rFonts w:hint="eastAsia" w:ascii="宋体" w:hAnsi="宋体" w:eastAsia="宋体" w:cs="宋体"/>
                <w:lang w:val="en-US" w:eastAsia="zh-CN"/>
              </w:rPr>
              <w:t>It is followed by &lt; CMD &gt; control, usually two characters.</w:t>
            </w:r>
          </w:p>
          <w:p>
            <w:pPr>
              <w:jc w:val="left"/>
              <w:rPr>
                <w:rFonts w:hint="eastAsia" w:ascii="宋体" w:hAnsi="宋体" w:eastAsia="宋体" w:cs="宋体"/>
              </w:rPr>
            </w:pPr>
            <w:r>
              <w:rPr>
                <w:rFonts w:hint="eastAsia" w:ascii="宋体" w:hAnsi="宋体" w:eastAsia="宋体" w:cs="宋体"/>
                <w:lang w:val="en-US" w:eastAsia="zh-CN"/>
              </w:rPr>
              <w:t>instructions</w:t>
            </w:r>
          </w:p>
        </w:tc>
      </w:tr>
      <w:tr>
        <w:tblPrEx>
          <w:tblCellMar>
            <w:top w:w="0" w:type="dxa"/>
            <w:left w:w="0" w:type="dxa"/>
            <w:bottom w:w="0" w:type="dxa"/>
            <w:right w:w="0" w:type="dxa"/>
          </w:tblCellMar>
        </w:tblPrEx>
        <w:trPr>
          <w:trHeight w:val="454" w:hRule="atLeast"/>
        </w:trPr>
        <w:tc>
          <w:tcPr>
            <w:tcW w:w="1920" w:type="dxa"/>
            <w:tcBorders>
              <w:top w:val="nil"/>
              <w:left w:val="single" w:color="000000" w:sz="12" w:space="0"/>
              <w:bottom w:val="single" w:color="000000" w:sz="12" w:space="0"/>
              <w:right w:val="single" w:color="000000" w:sz="12" w:space="0"/>
            </w:tcBorders>
            <w:shd w:val="clear" w:color="auto" w:fill="F9F9F9"/>
            <w:noWrap w:val="0"/>
            <w:tcMar>
              <w:left w:w="108" w:type="dxa"/>
              <w:right w:w="108" w:type="dxa"/>
            </w:tcMar>
            <w:vAlign w:val="center"/>
          </w:tcPr>
          <w:p>
            <w:pPr>
              <w:jc w:val="left"/>
              <w:rPr>
                <w:rFonts w:hint="eastAsia" w:ascii="宋体" w:hAnsi="宋体" w:eastAsia="宋体" w:cs="宋体"/>
              </w:rPr>
            </w:pPr>
            <w:r>
              <w:rPr>
                <w:rFonts w:hint="eastAsia" w:ascii="宋体" w:hAnsi="宋体" w:eastAsia="宋体" w:cs="宋体"/>
                <w:lang w:val="en-US" w:eastAsia="zh-CN"/>
              </w:rPr>
              <w:t>[&lt;param&gt;]</w:t>
            </w:r>
          </w:p>
        </w:tc>
        <w:tc>
          <w:tcPr>
            <w:tcW w:w="8565" w:type="dxa"/>
            <w:tcBorders>
              <w:top w:val="nil"/>
              <w:left w:val="nil"/>
              <w:bottom w:val="single" w:color="000000" w:sz="12" w:space="0"/>
              <w:right w:val="single" w:color="000000" w:sz="12" w:space="0"/>
            </w:tcBorders>
            <w:shd w:val="clear" w:color="auto" w:fill="F9F9F9"/>
            <w:noWrap w:val="0"/>
            <w:tcMar>
              <w:left w:w="108" w:type="dxa"/>
              <w:right w:w="108" w:type="dxa"/>
            </w:tcMar>
            <w:vAlign w:val="bottom"/>
          </w:tcPr>
          <w:p>
            <w:pPr>
              <w:jc w:val="left"/>
              <w:rPr>
                <w:rFonts w:hint="eastAsia" w:ascii="宋体" w:hAnsi="宋体" w:eastAsia="宋体" w:cs="宋体"/>
              </w:rPr>
            </w:pPr>
            <w:r>
              <w:rPr>
                <w:rFonts w:hint="eastAsia" w:ascii="宋体" w:hAnsi="宋体" w:eastAsia="宋体" w:cs="宋体"/>
                <w:lang w:val="en-US" w:eastAsia="zh-CN"/>
              </w:rPr>
              <w:t>If there are parameters behind the CMD, follow closely[&lt;param&gt;]</w:t>
            </w:r>
          </w:p>
        </w:tc>
      </w:tr>
      <w:tr>
        <w:tblPrEx>
          <w:tblCellMar>
            <w:top w:w="0" w:type="dxa"/>
            <w:left w:w="0" w:type="dxa"/>
            <w:bottom w:w="0" w:type="dxa"/>
            <w:right w:w="0" w:type="dxa"/>
          </w:tblCellMar>
        </w:tblPrEx>
        <w:trPr>
          <w:trHeight w:val="454" w:hRule="atLeast"/>
        </w:trPr>
        <w:tc>
          <w:tcPr>
            <w:tcW w:w="1920" w:type="dxa"/>
            <w:tcBorders>
              <w:top w:val="nil"/>
              <w:left w:val="single" w:color="000000" w:sz="12" w:space="0"/>
              <w:bottom w:val="single" w:color="000000" w:sz="12" w:space="0"/>
              <w:right w:val="single" w:color="000000" w:sz="12" w:space="0"/>
            </w:tcBorders>
            <w:shd w:val="clear" w:color="auto" w:fill="F9F9F9"/>
            <w:noWrap w:val="0"/>
            <w:tcMar>
              <w:left w:w="108" w:type="dxa"/>
              <w:right w:w="108" w:type="dxa"/>
            </w:tcMar>
            <w:vAlign w:val="center"/>
          </w:tcPr>
          <w:p>
            <w:pPr>
              <w:jc w:val="left"/>
              <w:rPr>
                <w:rFonts w:hint="eastAsia" w:ascii="宋体" w:hAnsi="宋体" w:eastAsia="宋体" w:cs="宋体"/>
              </w:rPr>
            </w:pPr>
            <w:r>
              <w:rPr>
                <w:rFonts w:hint="eastAsia" w:ascii="宋体" w:hAnsi="宋体" w:eastAsia="宋体" w:cs="宋体"/>
                <w:lang w:val="en-US" w:eastAsia="zh-CN"/>
              </w:rPr>
              <w:t>\r\n</w:t>
            </w:r>
          </w:p>
        </w:tc>
        <w:tc>
          <w:tcPr>
            <w:tcW w:w="8565" w:type="dxa"/>
            <w:tcBorders>
              <w:top w:val="nil"/>
              <w:left w:val="nil"/>
              <w:bottom w:val="single" w:color="000000" w:sz="12" w:space="0"/>
              <w:right w:val="single" w:color="000000" w:sz="12" w:space="0"/>
            </w:tcBorders>
            <w:shd w:val="clear" w:color="auto" w:fill="F9F9F9"/>
            <w:noWrap w:val="0"/>
            <w:tcMar>
              <w:left w:w="108" w:type="dxa"/>
              <w:right w:w="108" w:type="dxa"/>
            </w:tcMar>
            <w:vAlign w:val="bottom"/>
          </w:tcPr>
          <w:p>
            <w:pPr>
              <w:jc w:val="left"/>
              <w:rPr>
                <w:rFonts w:hint="eastAsia" w:ascii="宋体" w:hAnsi="宋体" w:eastAsia="宋体" w:cs="宋体"/>
              </w:rPr>
            </w:pPr>
            <w:r>
              <w:rPr>
                <w:rFonts w:hint="eastAsia" w:ascii="宋体" w:hAnsi="宋体" w:eastAsia="宋体" w:cs="宋体"/>
                <w:lang w:val="en-US" w:eastAsia="zh-CN"/>
              </w:rPr>
              <w:t>Finally, end with "r\n", character type is newline, windows is the return key.Hexadecimal is 0x0D, 0x0A</w:t>
            </w:r>
          </w:p>
        </w:tc>
      </w:tr>
      <w:tr>
        <w:tblPrEx>
          <w:tblCellMar>
            <w:top w:w="0" w:type="dxa"/>
            <w:left w:w="0" w:type="dxa"/>
            <w:bottom w:w="0" w:type="dxa"/>
            <w:right w:w="0" w:type="dxa"/>
          </w:tblCellMar>
        </w:tblPrEx>
        <w:trPr>
          <w:trHeight w:val="454" w:hRule="atLeast"/>
        </w:trPr>
        <w:tc>
          <w:tcPr>
            <w:tcW w:w="1920" w:type="dxa"/>
            <w:vMerge w:val="restart"/>
            <w:tcBorders>
              <w:top w:val="nil"/>
              <w:left w:val="single" w:color="000000" w:sz="12" w:space="0"/>
              <w:bottom w:val="single" w:color="000000" w:sz="12" w:space="0"/>
              <w:right w:val="single" w:color="000000" w:sz="12" w:space="0"/>
            </w:tcBorders>
            <w:shd w:val="clear" w:color="auto" w:fill="F9F9F9"/>
            <w:noWrap w:val="0"/>
            <w:tcMar>
              <w:left w:w="108" w:type="dxa"/>
              <w:right w:w="108" w:type="dxa"/>
            </w:tcMar>
            <w:vAlign w:val="center"/>
          </w:tcPr>
          <w:p>
            <w:pPr>
              <w:jc w:val="left"/>
              <w:rPr>
                <w:rFonts w:hint="eastAsia" w:ascii="宋体" w:hAnsi="宋体" w:eastAsia="宋体" w:cs="宋体"/>
              </w:rPr>
            </w:pPr>
            <w:r>
              <w:rPr>
                <w:rFonts w:hint="eastAsia" w:ascii="宋体" w:hAnsi="宋体" w:eastAsia="宋体" w:cs="宋体"/>
                <w:lang w:val="en-US" w:eastAsia="zh-CN"/>
              </w:rPr>
              <w:t>&lt;IND&gt;</w:t>
            </w:r>
          </w:p>
        </w:tc>
        <w:tc>
          <w:tcPr>
            <w:tcW w:w="8565" w:type="dxa"/>
            <w:tcBorders>
              <w:top w:val="nil"/>
              <w:left w:val="nil"/>
              <w:bottom w:val="single" w:color="000000" w:sz="12" w:space="0"/>
              <w:right w:val="single" w:color="000000" w:sz="12" w:space="0"/>
            </w:tcBorders>
            <w:shd w:val="clear" w:color="auto" w:fill="F9F9F9"/>
            <w:noWrap w:val="0"/>
            <w:tcMar>
              <w:left w:w="108" w:type="dxa"/>
              <w:right w:w="108" w:type="dxa"/>
            </w:tcMar>
            <w:vAlign w:val="bottom"/>
          </w:tcPr>
          <w:p>
            <w:pPr>
              <w:jc w:val="left"/>
              <w:rPr>
                <w:rFonts w:hint="eastAsia" w:ascii="宋体" w:hAnsi="宋体" w:eastAsia="宋体" w:cs="宋体"/>
              </w:rPr>
            </w:pPr>
            <w:r>
              <w:rPr>
                <w:rFonts w:hint="eastAsia" w:ascii="宋体" w:hAnsi="宋体" w:eastAsia="宋体" w:cs="宋体"/>
                <w:lang w:val="en-US" w:eastAsia="zh-CN"/>
              </w:rPr>
              <w:t>1. Data Feedback &lt; IND &gt; as the BeginningIt's Bluetooth that feeds back state and data information to the host."IND" means feedback.</w:t>
            </w:r>
          </w:p>
          <w:p>
            <w:pPr>
              <w:jc w:val="left"/>
              <w:rPr>
                <w:rFonts w:hint="eastAsia" w:ascii="宋体" w:hAnsi="宋体" w:eastAsia="宋体" w:cs="宋体"/>
              </w:rPr>
            </w:pPr>
            <w:r>
              <w:rPr>
                <w:rFonts w:hint="eastAsia" w:ascii="宋体" w:hAnsi="宋体" w:eastAsia="宋体" w:cs="宋体"/>
                <w:lang w:val="en-US" w:eastAsia="zh-CN"/>
              </w:rPr>
              <w:t>The &lt; param &gt; parameters are transmitted immediately after &lt; IND &gt;.</w:t>
            </w:r>
          </w:p>
        </w:tc>
      </w:tr>
      <w:tr>
        <w:tblPrEx>
          <w:tblCellMar>
            <w:top w:w="0" w:type="dxa"/>
            <w:left w:w="0" w:type="dxa"/>
            <w:bottom w:w="0" w:type="dxa"/>
            <w:right w:w="0" w:type="dxa"/>
          </w:tblCellMar>
        </w:tblPrEx>
        <w:trPr>
          <w:trHeight w:val="454" w:hRule="atLeast"/>
        </w:trPr>
        <w:tc>
          <w:tcPr>
            <w:tcW w:w="1920" w:type="dxa"/>
            <w:vMerge w:val="continue"/>
            <w:tcBorders>
              <w:top w:val="nil"/>
              <w:left w:val="single" w:color="000000" w:sz="12" w:space="0"/>
              <w:bottom w:val="single" w:color="000000" w:sz="12" w:space="0"/>
              <w:right w:val="single" w:color="000000" w:sz="12" w:space="0"/>
            </w:tcBorders>
            <w:shd w:val="clear" w:color="auto" w:fill="F9F9F9"/>
            <w:noWrap w:val="0"/>
            <w:tcMar>
              <w:left w:w="108" w:type="dxa"/>
              <w:right w:w="108" w:type="dxa"/>
            </w:tcMar>
            <w:vAlign w:val="center"/>
          </w:tcPr>
          <w:p>
            <w:pPr>
              <w:jc w:val="left"/>
              <w:rPr>
                <w:rFonts w:hint="eastAsia" w:ascii="宋体" w:hAnsi="宋体" w:eastAsia="宋体" w:cs="宋体"/>
              </w:rPr>
            </w:pPr>
          </w:p>
        </w:tc>
        <w:tc>
          <w:tcPr>
            <w:tcW w:w="8565" w:type="dxa"/>
            <w:tcBorders>
              <w:top w:val="nil"/>
              <w:left w:val="nil"/>
              <w:bottom w:val="single" w:color="000000" w:sz="12" w:space="0"/>
              <w:right w:val="single" w:color="000000" w:sz="12" w:space="0"/>
            </w:tcBorders>
            <w:shd w:val="clear" w:color="auto" w:fill="F9F9F9"/>
            <w:noWrap w:val="0"/>
            <w:tcMar>
              <w:left w:w="108" w:type="dxa"/>
              <w:right w:w="108" w:type="dxa"/>
            </w:tcMar>
            <w:vAlign w:val="bottom"/>
          </w:tcPr>
          <w:p>
            <w:pPr>
              <w:jc w:val="left"/>
              <w:rPr>
                <w:rFonts w:hint="eastAsia" w:ascii="宋体" w:hAnsi="宋体" w:eastAsia="宋体" w:cs="宋体"/>
              </w:rPr>
            </w:pPr>
            <w:r>
              <w:rPr>
                <w:rFonts w:hint="eastAsia" w:ascii="宋体" w:hAnsi="宋体" w:eastAsia="宋体" w:cs="宋体"/>
                <w:lang w:val="en-US" w:eastAsia="zh-CN"/>
              </w:rPr>
              <w:t>2The parameters returned by BT201 are followed by</w:t>
            </w:r>
          </w:p>
        </w:tc>
      </w:tr>
    </w:tbl>
    <w:p>
      <w:pPr>
        <w:spacing w:after="0"/>
        <w:rPr>
          <w:rFonts w:ascii="黑体"/>
          <w:sz w:val="26"/>
        </w:rPr>
        <w:sectPr>
          <w:headerReference r:id="rId3" w:type="default"/>
          <w:footerReference r:id="rId4" w:type="default"/>
          <w:type w:val="continuous"/>
          <w:pgSz w:w="11910" w:h="16840"/>
          <w:pgMar w:top="1600" w:right="340" w:bottom="1200" w:left="460" w:header="871" w:footer="1011" w:gutter="0"/>
          <w:pgNumType w:start="1"/>
        </w:sectPr>
      </w:pPr>
      <w:bookmarkStart w:id="10" w:name="_GoBack"/>
      <w:bookmarkEnd w:id="10"/>
    </w:p>
    <w:p>
      <w:pPr>
        <w:pStyle w:val="7"/>
        <w:numPr>
          <w:ilvl w:val="1"/>
          <w:numId w:val="1"/>
        </w:numPr>
        <w:tabs>
          <w:tab w:val="left" w:pos="500"/>
        </w:tabs>
        <w:spacing w:before="67" w:after="0" w:line="240" w:lineRule="auto"/>
        <w:ind w:left="500" w:right="0" w:hanging="394"/>
        <w:jc w:val="left"/>
        <w:rPr>
          <w:sz w:val="24"/>
        </w:rPr>
      </w:pPr>
      <w:bookmarkStart w:id="4" w:name="2.2串口的测试的工具说明"/>
      <w:bookmarkEnd w:id="4"/>
      <w:bookmarkStart w:id="5" w:name="2.2串口的测试的工具说明"/>
      <w:bookmarkEnd w:id="5"/>
      <w:r>
        <w:rPr>
          <w:sz w:val="24"/>
        </w:rPr>
        <w:t>Serial testing tool Description</w:t>
      </w:r>
    </w:p>
    <w:p>
      <w:pPr>
        <w:pStyle w:val="3"/>
        <w:rPr>
          <w:rFonts w:ascii="黑体"/>
          <w:sz w:val="20"/>
        </w:rPr>
      </w:pPr>
    </w:p>
    <w:p>
      <w:pPr>
        <w:pStyle w:val="3"/>
        <w:spacing w:before="7"/>
        <w:rPr>
          <w:rFonts w:ascii="黑体"/>
          <w:sz w:val="16"/>
        </w:rPr>
      </w:pPr>
      <w:r>
        <w:drawing>
          <wp:anchor distT="0" distB="0" distL="0" distR="0" simplePos="0" relativeHeight="1024" behindDoc="0" locked="0" layoutInCell="1" allowOverlap="1">
            <wp:simplePos x="0" y="0"/>
            <wp:positionH relativeFrom="page">
              <wp:posOffset>359410</wp:posOffset>
            </wp:positionH>
            <wp:positionV relativeFrom="paragraph">
              <wp:posOffset>159385</wp:posOffset>
            </wp:positionV>
            <wp:extent cx="4760595" cy="5450840"/>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6" cstate="print"/>
                    <a:stretch>
                      <a:fillRect/>
                    </a:stretch>
                  </pic:blipFill>
                  <pic:spPr>
                    <a:xfrm>
                      <a:off x="0" y="0"/>
                      <a:ext cx="4760900" cy="5450776"/>
                    </a:xfrm>
                    <a:prstGeom prst="rect">
                      <a:avLst/>
                    </a:prstGeom>
                  </pic:spPr>
                </pic:pic>
              </a:graphicData>
            </a:graphic>
          </wp:anchor>
        </w:drawing>
      </w:r>
    </w:p>
    <w:p>
      <w:pPr>
        <w:spacing w:after="0"/>
        <w:rPr>
          <w:rFonts w:ascii="黑体"/>
          <w:sz w:val="16"/>
        </w:rPr>
        <w:sectPr>
          <w:pgSz w:w="11910" w:h="16840"/>
          <w:pgMar w:top="1600" w:right="340" w:bottom="1200" w:left="460" w:header="871" w:footer="1011" w:gutter="0"/>
        </w:sectPr>
      </w:pPr>
    </w:p>
    <w:p>
      <w:pPr>
        <w:pStyle w:val="7"/>
        <w:numPr>
          <w:ilvl w:val="1"/>
          <w:numId w:val="1"/>
        </w:numPr>
        <w:tabs>
          <w:tab w:val="left" w:pos="500"/>
        </w:tabs>
        <w:spacing w:before="67" w:after="0" w:line="240" w:lineRule="auto"/>
        <w:ind w:left="500" w:right="0" w:hanging="394"/>
        <w:jc w:val="left"/>
        <w:rPr>
          <w:sz w:val="24"/>
        </w:rPr>
      </w:pPr>
      <w:r>
        <w:drawing>
          <wp:anchor distT="0" distB="0" distL="0" distR="0" simplePos="0" relativeHeight="251537408" behindDoc="1" locked="0" layoutInCell="1" allowOverlap="1">
            <wp:simplePos x="0" y="0"/>
            <wp:positionH relativeFrom="page">
              <wp:posOffset>359410</wp:posOffset>
            </wp:positionH>
            <wp:positionV relativeFrom="paragraph">
              <wp:posOffset>753110</wp:posOffset>
            </wp:positionV>
            <wp:extent cx="6650355" cy="2814320"/>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pic:cNvPicPr>
                      <a:picLocks noChangeAspect="1"/>
                    </pic:cNvPicPr>
                  </pic:nvPicPr>
                  <pic:blipFill>
                    <a:blip r:embed="rId7" cstate="print"/>
                    <a:stretch>
                      <a:fillRect/>
                    </a:stretch>
                  </pic:blipFill>
                  <pic:spPr>
                    <a:xfrm>
                      <a:off x="0" y="0"/>
                      <a:ext cx="6650420" cy="2814637"/>
                    </a:xfrm>
                    <a:prstGeom prst="rect">
                      <a:avLst/>
                    </a:prstGeom>
                  </pic:spPr>
                </pic:pic>
              </a:graphicData>
            </a:graphic>
          </wp:anchor>
        </w:drawing>
      </w:r>
      <w:r>
        <w:drawing>
          <wp:anchor distT="0" distB="0" distL="0" distR="0" simplePos="0" relativeHeight="251538432" behindDoc="1" locked="0" layoutInCell="1" allowOverlap="1">
            <wp:simplePos x="0" y="0"/>
            <wp:positionH relativeFrom="page">
              <wp:posOffset>359410</wp:posOffset>
            </wp:positionH>
            <wp:positionV relativeFrom="page">
              <wp:posOffset>4678680</wp:posOffset>
            </wp:positionV>
            <wp:extent cx="3319145" cy="2776220"/>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8" cstate="print"/>
                    <a:stretch>
                      <a:fillRect/>
                    </a:stretch>
                  </pic:blipFill>
                  <pic:spPr>
                    <a:xfrm>
                      <a:off x="0" y="0"/>
                      <a:ext cx="3319238" cy="2776537"/>
                    </a:xfrm>
                    <a:prstGeom prst="rect">
                      <a:avLst/>
                    </a:prstGeom>
                  </pic:spPr>
                </pic:pic>
              </a:graphicData>
            </a:graphic>
          </wp:anchor>
        </w:drawing>
      </w:r>
      <w:bookmarkStart w:id="6" w:name="2.3串口的调试正常的现象如下："/>
      <w:bookmarkEnd w:id="6"/>
      <w:bookmarkStart w:id="7" w:name="2.3串口的调试正常的现象如下："/>
      <w:bookmarkEnd w:id="7"/>
      <w:r>
        <w:rPr>
          <w:sz w:val="24"/>
        </w:rPr>
        <w:t>Serial debugging normal phenomenon as follows:</w:t>
      </w: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spacing w:before="6"/>
        <w:rPr>
          <w:rFonts w:ascii="黑体"/>
          <w:sz w:val="14"/>
        </w:rPr>
      </w:pPr>
    </w:p>
    <w:p>
      <w:pPr>
        <w:spacing w:before="0" w:line="229" w:lineRule="exact"/>
        <w:ind w:left="106" w:right="0" w:firstLine="0"/>
        <w:jc w:val="left"/>
        <w:rPr>
          <w:sz w:val="21"/>
        </w:rPr>
      </w:pPr>
      <w:r>
        <w:rPr>
          <w:sz w:val="21"/>
        </w:rPr>
        <w:t>Just send the correct data to the module, the module will definitely return OK or ER + x, etc. information, see note</w:t>
      </w:r>
    </w:p>
    <w:p>
      <w:pPr>
        <w:spacing w:after="0" w:line="229" w:lineRule="exact"/>
        <w:jc w:val="left"/>
        <w:rPr>
          <w:sz w:val="21"/>
        </w:rPr>
        <w:sectPr>
          <w:pgSz w:w="11910" w:h="16840"/>
          <w:pgMar w:top="1600" w:right="340" w:bottom="1200" w:left="460" w:header="871" w:footer="1011" w:gutter="0"/>
        </w:sectPr>
      </w:pPr>
    </w:p>
    <w:p>
      <w:pPr>
        <w:pStyle w:val="7"/>
        <w:numPr>
          <w:ilvl w:val="1"/>
          <w:numId w:val="1"/>
        </w:numPr>
        <w:tabs>
          <w:tab w:val="left" w:pos="500"/>
        </w:tabs>
        <w:spacing w:before="67" w:after="0" w:line="240" w:lineRule="auto"/>
        <w:ind w:left="500" w:right="0" w:hanging="394"/>
        <w:jc w:val="left"/>
        <w:rPr>
          <w:sz w:val="24"/>
        </w:rPr>
      </w:pPr>
      <w:bookmarkStart w:id="8" w:name="2.4串口的测试遇到问题怎么办"/>
      <w:bookmarkEnd w:id="8"/>
      <w:bookmarkStart w:id="9" w:name="2.4串口的测试遇到问题怎么办"/>
      <w:bookmarkEnd w:id="9"/>
      <w:r>
        <w:rPr>
          <w:sz w:val="24"/>
        </w:rPr>
        <w:t>Serial testing encounter problems how to do</w:t>
      </w:r>
    </w:p>
    <w:p>
      <w:pPr>
        <w:pStyle w:val="3"/>
        <w:rPr>
          <w:rFonts w:ascii="黑体"/>
          <w:sz w:val="26"/>
        </w:rPr>
      </w:pPr>
    </w:p>
    <w:p>
      <w:pPr>
        <w:pStyle w:val="3"/>
        <w:spacing w:before="9"/>
        <w:rPr>
          <w:rFonts w:ascii="黑体"/>
          <w:sz w:val="27"/>
        </w:rPr>
      </w:pPr>
    </w:p>
    <w:p>
      <w:pPr>
        <w:pStyle w:val="3"/>
        <w:spacing w:line="242" w:lineRule="auto"/>
        <w:ind w:left="106" w:right="105"/>
      </w:pPr>
      <w:r>
        <w:rPr>
          <w:spacing w:val="-10"/>
        </w:rPr>
        <w:t>If the debugging process encountered a problem. Do not worry, the temerity to doubt it, doubt it. Because the problem is to go step by step to resolve.</w:t>
      </w:r>
      <w:r>
        <w:t>We do all kinds of guests after-sales experience, in fact, the ultimate solution, the basic is as follows: None Other</w:t>
      </w:r>
    </w:p>
    <w:p>
      <w:pPr>
        <w:pStyle w:val="3"/>
        <w:spacing w:before="8"/>
      </w:pPr>
    </w:p>
    <w:p>
      <w:pPr>
        <w:pStyle w:val="3"/>
        <w:ind w:left="106"/>
      </w:pPr>
      <w:r>
        <w:rPr>
          <w:rFonts w:ascii="Calibri" w:hAnsi="Calibri" w:eastAsia="Calibri"/>
        </w:rPr>
        <w:t>1, the first use of "computer end" of the serial debugging assistant, the USB to TTL tools TX and RX short, spontaneous self-close look at whether it is normal</w:t>
      </w:r>
    </w:p>
    <w:p>
      <w:pPr>
        <w:pStyle w:val="3"/>
        <w:spacing w:before="4"/>
        <w:ind w:left="106"/>
      </w:pPr>
      <w:r>
        <w:rPr>
          <w:rFonts w:ascii="Calibri" w:eastAsia="Calibri"/>
        </w:rPr>
        <w:t>2, check the Bluetooth module, the active power returned serial information whether there is received.</w:t>
      </w:r>
    </w:p>
    <w:p>
      <w:pPr>
        <w:spacing w:before="5"/>
        <w:ind w:left="106" w:right="0" w:firstLine="0"/>
        <w:jc w:val="left"/>
        <w:rPr>
          <w:b/>
          <w:sz w:val="24"/>
        </w:rPr>
      </w:pPr>
      <w:r>
        <w:rPr>
          <w:rFonts w:ascii="Calibri" w:eastAsia="Calibri"/>
          <w:sz w:val="24"/>
        </w:rPr>
        <w:t>3, in the case of transfer barrier, be sure to use the computer end of the serial debugging assistant try, recommended that we provide.</w:t>
      </w:r>
    </w:p>
    <w:p>
      <w:pPr>
        <w:pStyle w:val="3"/>
        <w:spacing w:before="4"/>
        <w:ind w:left="106"/>
      </w:pPr>
      <w:r>
        <w:rPr>
          <w:rFonts w:ascii="Calibri" w:hAnsi="Calibri" w:eastAsia="Calibri"/>
        </w:rPr>
        <w:t>4, and then send it "AT" command to see if the module will return to "ER + x" information. If the return on all normal</w:t>
      </w:r>
    </w:p>
    <w:p>
      <w:pPr>
        <w:pStyle w:val="3"/>
        <w:spacing w:before="5" w:line="242" w:lineRule="auto"/>
        <w:ind w:left="106" w:right="216"/>
      </w:pPr>
      <w:r>
        <w:rPr>
          <w:rFonts w:ascii="Calibri" w:eastAsia="Calibri"/>
        </w:rPr>
        <w:t>5, also check tool USB to TTL, we repeatedly stated, it is recommended to use CH340G chip board. Because our chip is weak drive, other USB to TTL module, can be problematic.</w:t>
      </w:r>
    </w:p>
    <w:p>
      <w:pPr>
        <w:pStyle w:val="3"/>
        <w:spacing w:before="3"/>
        <w:ind w:left="106"/>
        <w:rPr>
          <w:rFonts w:ascii="Calibri" w:eastAsia="Calibri"/>
        </w:rPr>
      </w:pPr>
      <w:r>
        <w:rPr>
          <w:rFonts w:ascii="Calibri" w:eastAsia="Calibri"/>
        </w:rPr>
        <w:t>6. If you have asked yourself, it is likely to last module itself is bad. But this probability is very low, just one case of [2 years]</w:t>
      </w:r>
    </w:p>
    <w:sectPr>
      <w:pgSz w:w="11910" w:h="16840"/>
      <w:pgMar w:top="1600" w:right="340" w:bottom="1200" w:left="460" w:header="871" w:footer="1011"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2052" o:spid="_x0000_s2052" o:spt="202" type="#_x0000_t202" style="position:absolute;left:0pt;margin-left:293.3pt;margin-top:780.3pt;height:11pt;width:8.6pt;mso-position-horizontal-relative:page;mso-position-vertical-relative:page;z-index:-251780096;mso-width-relative:page;mso-height-relative:page;" filled="f" stroked="f" coordsize="21600,21600">
          <v:path/>
          <v:fill on="f" focussize="0,0"/>
          <v:stroke on="f" joinstyle="miter"/>
          <v:imagedata o:title=""/>
          <o:lock v:ext="edit"/>
          <v:textbox inset="0mm,0mm,0mm,0mm">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1</w:t>
                </w:r>
                <w:r>
                  <w:fldChar w:fldCharType="end"/>
                </w:r>
              </w:p>
            </w:txbxContent>
          </v:textbox>
        </v:shape>
      </w:pict>
    </w:r>
    <w:r>
      <w:pict>
        <v:shape id="_x0000_s2053" o:spid="_x0000_s2053" o:spt="202" type="#_x0000_t202" style="position:absolute;left:0pt;margin-left:505pt;margin-top:780.65pt;height:12.45pt;width:45.6pt;mso-position-horizontal-relative:page;mso-position-vertical-relative:page;z-index:-251779072;mso-width-relative:page;mso-height-relative:page;" filled="f" stroked="f" coordsize="21600,21600">
          <v:path/>
          <v:fill on="f" focussize="0,0"/>
          <v:stroke on="f" joinstyle="miter"/>
          <v:imagedata o:title=""/>
          <o:lock v:ext="edit"/>
          <v:textbox inset="0mm,0mm,0mm,0mm">
            <w:txbxContent>
              <w:p>
                <w:pPr>
                  <w:spacing w:before="0" w:line="233" w:lineRule="exact"/>
                  <w:ind w:left="20" w:right="0" w:firstLine="0"/>
                  <w:jc w:val="left"/>
                  <w:rPr>
                    <w:rFonts w:ascii="Calibri"/>
                    <w:b/>
                    <w:sz w:val="21"/>
                  </w:rPr>
                </w:pPr>
                <w:r>
                  <w:rPr>
                    <w:rFonts w:ascii="Calibri"/>
                    <w:b/>
                    <w:sz w:val="21"/>
                  </w:rPr>
                  <w:t>2019-11-9</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drawing>
        <wp:anchor distT="0" distB="0" distL="0" distR="0" simplePos="0" relativeHeight="251532288" behindDoc="1" locked="0" layoutInCell="1" allowOverlap="1">
          <wp:simplePos x="0" y="0"/>
          <wp:positionH relativeFrom="page">
            <wp:posOffset>389255</wp:posOffset>
          </wp:positionH>
          <wp:positionV relativeFrom="page">
            <wp:posOffset>553085</wp:posOffset>
          </wp:positionV>
          <wp:extent cx="298450" cy="32956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 cstate="print"/>
                  <a:stretch>
                    <a:fillRect/>
                  </a:stretch>
                </pic:blipFill>
                <pic:spPr>
                  <a:xfrm>
                    <a:off x="0" y="0"/>
                    <a:ext cx="298173" cy="329319"/>
                  </a:xfrm>
                  <a:prstGeom prst="rect">
                    <a:avLst/>
                  </a:prstGeom>
                </pic:spPr>
              </pic:pic>
            </a:graphicData>
          </a:graphic>
        </wp:anchor>
      </w:drawing>
    </w:r>
    <w:r>
      <w:pict>
        <v:line id="_x0000_s2049" o:spid="_x0000_s2049" o:spt="20" style="position:absolute;left:0pt;margin-left:28.35pt;margin-top:75.5pt;height:0pt;width:538.6pt;mso-position-horizontal-relative:page;mso-position-vertical-relative:page;z-index:-251783168;mso-width-relative:page;mso-height-relative:page;" stroked="t" coordsize="21600,21600">
          <v:path arrowok="t"/>
          <v:fill focussize="0,0"/>
          <v:stroke weight="0.96pt" color="#000000"/>
          <v:imagedata o:title=""/>
          <o:lock v:ext="edit"/>
        </v:line>
      </w:pict>
    </w:r>
    <w:r>
      <w:pict>
        <v:line id="_x0000_s2050" o:spid="_x0000_s2050" o:spt="20" style="position:absolute;left:0pt;margin-left:28.35pt;margin-top:77.45pt;height:0pt;width:538.6pt;mso-position-horizontal-relative:page;mso-position-vertical-relative:page;z-index:-251782144;mso-width-relative:page;mso-height-relative:page;" stroked="t" coordsize="21600,21600">
          <v:path arrowok="t"/>
          <v:fill focussize="0,0"/>
          <v:stroke weight="0.96pt" color="#000000"/>
          <v:imagedata o:title=""/>
          <o:lock v:ext="edit"/>
        </v:line>
      </w:pict>
    </w:r>
    <w:r>
      <w:pict>
        <v:shape id="_x0000_s2051" o:spid="_x0000_s2051" o:spt="202" type="#_x0000_t202" style="position:absolute;left:0pt;margin-left:528.75pt;margin-top:57.05pt;height:16.05pt;width:30.3pt;mso-position-horizontal-relative:page;mso-position-vertical-relative:page;z-index:-251781120;mso-width-relative:page;mso-height-relative:page;" filled="f" stroked="f" coordsize="21600,21600">
          <v:path/>
          <v:fill on="f" focussize="0,0"/>
          <v:stroke on="f" joinstyle="miter"/>
          <v:imagedata o:title=""/>
          <o:lock v:ext="edit"/>
          <v:textbox inset="0mm,0mm,0mm,0mm">
            <w:txbxContent>
              <w:p>
                <w:pPr>
                  <w:spacing w:before="0" w:line="321" w:lineRule="exact"/>
                  <w:ind w:left="20" w:right="0" w:firstLine="0"/>
                  <w:jc w:val="left"/>
                  <w:rPr>
                    <w:b/>
                    <w:sz w:val="28"/>
                  </w:rPr>
                </w:pPr>
                <w:r>
                  <w:rPr>
                    <w:b/>
                    <w:sz w:val="28"/>
                  </w:rPr>
                  <w:t>V1.0</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2"/>
      <w:numFmt w:val="decimal"/>
      <w:lvlText w:val="%1"/>
      <w:lvlJc w:val="left"/>
      <w:pPr>
        <w:ind w:left="500" w:hanging="394"/>
        <w:jc w:val="left"/>
      </w:pPr>
      <w:rPr>
        <w:rFonts w:hint="default"/>
        <w:lang w:val="zh-CN" w:eastAsia="zh-CN" w:bidi="zh-CN"/>
      </w:rPr>
    </w:lvl>
    <w:lvl w:ilvl="1" w:tentative="0">
      <w:start w:val="1"/>
      <w:numFmt w:val="decimal"/>
      <w:lvlText w:val="%1.%2"/>
      <w:lvlJc w:val="left"/>
      <w:pPr>
        <w:ind w:left="500" w:hanging="394"/>
        <w:jc w:val="left"/>
      </w:pPr>
      <w:rPr>
        <w:rFonts w:hint="default" w:ascii="Arial" w:hAnsi="Arial" w:eastAsia="Arial" w:cs="Arial"/>
        <w:w w:val="100"/>
        <w:sz w:val="24"/>
        <w:szCs w:val="24"/>
        <w:lang w:val="zh-CN" w:eastAsia="zh-CN" w:bidi="zh-CN"/>
      </w:rPr>
    </w:lvl>
    <w:lvl w:ilvl="2" w:tentative="0">
      <w:start w:val="0"/>
      <w:numFmt w:val="bullet"/>
      <w:lvlText w:val="•"/>
      <w:lvlJc w:val="left"/>
      <w:pPr>
        <w:ind w:left="2621" w:hanging="394"/>
      </w:pPr>
      <w:rPr>
        <w:rFonts w:hint="default"/>
        <w:lang w:val="zh-CN" w:eastAsia="zh-CN" w:bidi="zh-CN"/>
      </w:rPr>
    </w:lvl>
    <w:lvl w:ilvl="3" w:tentative="0">
      <w:start w:val="0"/>
      <w:numFmt w:val="bullet"/>
      <w:lvlText w:val="•"/>
      <w:lvlJc w:val="left"/>
      <w:pPr>
        <w:ind w:left="3681" w:hanging="394"/>
      </w:pPr>
      <w:rPr>
        <w:rFonts w:hint="default"/>
        <w:lang w:val="zh-CN" w:eastAsia="zh-CN" w:bidi="zh-CN"/>
      </w:rPr>
    </w:lvl>
    <w:lvl w:ilvl="4" w:tentative="0">
      <w:start w:val="0"/>
      <w:numFmt w:val="bullet"/>
      <w:lvlText w:val="•"/>
      <w:lvlJc w:val="left"/>
      <w:pPr>
        <w:ind w:left="4742" w:hanging="394"/>
      </w:pPr>
      <w:rPr>
        <w:rFonts w:hint="default"/>
        <w:lang w:val="zh-CN" w:eastAsia="zh-CN" w:bidi="zh-CN"/>
      </w:rPr>
    </w:lvl>
    <w:lvl w:ilvl="5" w:tentative="0">
      <w:start w:val="0"/>
      <w:numFmt w:val="bullet"/>
      <w:lvlText w:val="•"/>
      <w:lvlJc w:val="left"/>
      <w:pPr>
        <w:ind w:left="5803" w:hanging="394"/>
      </w:pPr>
      <w:rPr>
        <w:rFonts w:hint="default"/>
        <w:lang w:val="zh-CN" w:eastAsia="zh-CN" w:bidi="zh-CN"/>
      </w:rPr>
    </w:lvl>
    <w:lvl w:ilvl="6" w:tentative="0">
      <w:start w:val="0"/>
      <w:numFmt w:val="bullet"/>
      <w:lvlText w:val="•"/>
      <w:lvlJc w:val="left"/>
      <w:pPr>
        <w:ind w:left="6863" w:hanging="394"/>
      </w:pPr>
      <w:rPr>
        <w:rFonts w:hint="default"/>
        <w:lang w:val="zh-CN" w:eastAsia="zh-CN" w:bidi="zh-CN"/>
      </w:rPr>
    </w:lvl>
    <w:lvl w:ilvl="7" w:tentative="0">
      <w:start w:val="0"/>
      <w:numFmt w:val="bullet"/>
      <w:lvlText w:val="•"/>
      <w:lvlJc w:val="left"/>
      <w:pPr>
        <w:ind w:left="7924" w:hanging="394"/>
      </w:pPr>
      <w:rPr>
        <w:rFonts w:hint="default"/>
        <w:lang w:val="zh-CN" w:eastAsia="zh-CN" w:bidi="zh-CN"/>
      </w:rPr>
    </w:lvl>
    <w:lvl w:ilvl="8" w:tentative="0">
      <w:start w:val="0"/>
      <w:numFmt w:val="bullet"/>
      <w:lvlText w:val="•"/>
      <w:lvlJc w:val="left"/>
      <w:pPr>
        <w:ind w:left="8984" w:hanging="394"/>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27974935"/>
    <w:rsid w:val="45677E85"/>
    <w:rsid w:val="505E59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106"/>
      <w:outlineLvl w:val="1"/>
    </w:pPr>
    <w:rPr>
      <w:rFonts w:ascii="宋体" w:hAnsi="宋体" w:eastAsia="宋体" w:cs="宋体"/>
      <w:sz w:val="28"/>
      <w:szCs w:val="28"/>
      <w:lang w:val="zh-CN" w:eastAsia="zh-CN" w:bidi="zh-CN"/>
    </w:rPr>
  </w:style>
  <w:style w:type="character" w:default="1" w:styleId="5">
    <w:name w:val="Default Paragraph Font"/>
    <w:semiHidden/>
    <w:unhideWhenUsed/>
    <w:qFormat/>
    <w:uiPriority w:val="1"/>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4"/>
      <w:szCs w:val="24"/>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spacing w:before="67"/>
      <w:ind w:left="500" w:hanging="394"/>
    </w:pPr>
    <w:rPr>
      <w:rFonts w:ascii="黑体" w:hAnsi="黑体" w:eastAsia="黑体" w:cs="黑体"/>
      <w:lang w:val="zh-CN" w:eastAsia="zh-CN" w:bidi="zh-CN"/>
    </w:rPr>
  </w:style>
  <w:style w:type="paragraph" w:customStyle="1" w:styleId="8">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2020-01-04T07:53:00Z</dcterms:created>
  <dc:creator>Administrator</dc:creator>
  <cp:lastModifiedBy>清月电子-滕成</cp:lastModifiedBy>
  <dcterms:modified xsi:type="dcterms:W3CDTF">2020-01-06T09:33:57Z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2019-11-09T00:00:00Z</vt:filetime>
  </property>
  <property fmtid="{D5CDD505-2E9C-101B-9397-08002B2CF9AE}" pid="3" name="Creator">
    <vt:lpwstr>WPS 文字</vt:lpwstr>
  </property>
  <property fmtid="{D5CDD505-2E9C-101B-9397-08002B2CF9AE}" pid="4" name="LastSaved">
    <vt:filetime>2020-01-04T00:00:00Z</vt:filetime>
  </property>
  <property fmtid="{D5CDD505-2E9C-101B-9397-08002B2CF9AE}" pid="5" name="KSOProductBuildVer">
    <vt:lpwstr>2052-11.1.0.9339</vt:lpwstr>
  </property>
</Properties>
</file>